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815" w:rsidRDefault="006F04B1">
      <w:pPr>
        <w:spacing w:line="360" w:lineRule="auto"/>
        <w:jc w:val="center"/>
        <w:rPr>
          <w:b/>
          <w:color w:val="000000" w:themeColor="text1"/>
          <w:sz w:val="32"/>
          <w:szCs w:val="32"/>
        </w:rPr>
      </w:pPr>
      <w:bookmarkStart w:id="0" w:name="_GoBack"/>
      <w:bookmarkEnd w:id="0"/>
      <w:r>
        <w:rPr>
          <w:rFonts w:hint="eastAsia"/>
          <w:b/>
          <w:color w:val="000000" w:themeColor="text1"/>
          <w:sz w:val="32"/>
          <w:szCs w:val="32"/>
        </w:rPr>
        <w:t>公共管理学院</w:t>
      </w:r>
      <w:r>
        <w:rPr>
          <w:rFonts w:hint="eastAsia"/>
          <w:b/>
          <w:color w:val="000000" w:themeColor="text1"/>
          <w:sz w:val="32"/>
          <w:szCs w:val="32"/>
        </w:rPr>
        <w:t>2021</w:t>
      </w:r>
      <w:r>
        <w:rPr>
          <w:rFonts w:hint="eastAsia"/>
          <w:b/>
          <w:color w:val="000000" w:themeColor="text1"/>
          <w:sz w:val="32"/>
          <w:szCs w:val="32"/>
        </w:rPr>
        <w:t>年博士研究生申请―考核制</w:t>
      </w:r>
    </w:p>
    <w:p w:rsidR="00232815" w:rsidRDefault="006F04B1">
      <w:pPr>
        <w:spacing w:line="360" w:lineRule="auto"/>
        <w:jc w:val="center"/>
        <w:rPr>
          <w:b/>
          <w:color w:val="000000" w:themeColor="text1"/>
          <w:sz w:val="32"/>
          <w:szCs w:val="32"/>
        </w:rPr>
      </w:pPr>
      <w:r>
        <w:rPr>
          <w:rFonts w:hint="eastAsia"/>
          <w:b/>
          <w:color w:val="000000" w:themeColor="text1"/>
          <w:sz w:val="32"/>
          <w:szCs w:val="32"/>
        </w:rPr>
        <w:t>招生工作细则</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根据《河海大学博士研究生申请-考核制招生工作办法（试行）》</w:t>
      </w:r>
      <w:bookmarkStart w:id="1" w:name="list5"/>
      <w:r>
        <w:rPr>
          <w:rFonts w:ascii="宋体" w:hAnsi="宋体" w:cs="宋体" w:hint="eastAsia"/>
          <w:color w:val="000000" w:themeColor="text1"/>
          <w:kern w:val="0"/>
          <w:sz w:val="24"/>
          <w:szCs w:val="24"/>
        </w:rPr>
        <w:t>（河海校科教</w:t>
      </w:r>
      <w:bookmarkStart w:id="2" w:name="string8"/>
      <w:bookmarkEnd w:id="1"/>
      <w:r>
        <w:rPr>
          <w:rFonts w:ascii="宋体" w:hAnsi="宋体" w:cs="宋体" w:hint="eastAsia"/>
          <w:color w:val="000000" w:themeColor="text1"/>
          <w:kern w:val="0"/>
          <w:sz w:val="24"/>
          <w:szCs w:val="24"/>
        </w:rPr>
        <w:t>〔2019〕2号</w:t>
      </w:r>
      <w:bookmarkEnd w:id="2"/>
      <w:r>
        <w:rPr>
          <w:rFonts w:ascii="宋体" w:hAnsi="宋体" w:cs="宋体" w:hint="eastAsia"/>
          <w:color w:val="000000" w:themeColor="text1"/>
          <w:kern w:val="0"/>
          <w:sz w:val="24"/>
          <w:szCs w:val="24"/>
        </w:rPr>
        <w:t>）和《关于做好2021年博士研究生申请—考核制招生工作的通知》（河海校科教〔2020〕68号）等有关文件精神，以及学校2021年度博士研究生招生工作安排，特制定本实施细则。</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本细则适用于030300社会学、0303Z1社会治理与公共政策、1201Z5移民科学与管理三个专业。</w:t>
      </w:r>
    </w:p>
    <w:p w:rsidR="00232815" w:rsidRDefault="006F04B1">
      <w:pPr>
        <w:widowControl/>
        <w:spacing w:line="360" w:lineRule="auto"/>
        <w:ind w:firstLine="482"/>
        <w:jc w:val="left"/>
        <w:outlineLvl w:val="2"/>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一、材料提交清单</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1）个人简历，包括学习经历、科研经历、学术活动、自我评价（从大学起，不得间断）；</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2）本科、硕士研究生期间的学业成绩单（加盖教务部门公章）；</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3）英语四（六级）证书或其他外语水平证明材料；</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4）本科毕业证书、学士学位证书原件及复印件（往届生、应届生）；硕士研究生毕业证书、学位证书原件及复印件（往届生），或硕士在读证明（应届生）；</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5）硕士学位论文全文及评议书（往届生），或毕业论文开题报告、论文初稿（应届生）；</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6）代表性的科研论文（不限是否发表）、科研获奖复印件；</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7）一份5000字左右拟攻读博士学位的</w:t>
      </w:r>
      <w:r w:rsidR="00544B05">
        <w:rPr>
          <w:rFonts w:ascii="宋体" w:hAnsi="宋体" w:cs="宋体" w:hint="eastAsia"/>
          <w:color w:val="000000" w:themeColor="text1"/>
          <w:kern w:val="0"/>
          <w:sz w:val="24"/>
          <w:szCs w:val="24"/>
        </w:rPr>
        <w:t>科学研究设想</w:t>
      </w:r>
      <w:r>
        <w:rPr>
          <w:rFonts w:ascii="宋体" w:hAnsi="宋体" w:cs="宋体" w:hint="eastAsia"/>
          <w:color w:val="000000" w:themeColor="text1"/>
          <w:kern w:val="0"/>
          <w:sz w:val="24"/>
          <w:szCs w:val="24"/>
        </w:rPr>
        <w:t>；</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8）两份专家签字出具的推荐书；</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上述1-7项材料需单独装订成册，第8项单独密封。除个人证件或证书原件外，其他所交材料不退。</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鼓励以下生源申请攻读博士学位：</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1、高水平大学优秀生源；</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2、对报考专业有浓厚兴趣，且科研能力突出。</w:t>
      </w:r>
    </w:p>
    <w:p w:rsidR="00232815" w:rsidRDefault="006F04B1">
      <w:pPr>
        <w:widowControl/>
        <w:spacing w:line="360" w:lineRule="auto"/>
        <w:ind w:firstLine="482"/>
        <w:jc w:val="left"/>
        <w:outlineLvl w:val="2"/>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二、资格审查</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研究生院和学院对考生的居民身份证、学位证书、学历证书、学生证等报名材料及考生资格进行严格审查，对不符合河海大学2021年博士研究生招生简章规定者，不予准考。综合考核前还将对考生资格进行复审。</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考生的学位、学历、学籍信息有疑问的，应按照要求在规定时间内提供权威机构出具的认证证明。</w:t>
      </w:r>
    </w:p>
    <w:p w:rsidR="00232815" w:rsidRDefault="006F04B1">
      <w:pPr>
        <w:widowControl/>
        <w:spacing w:line="360" w:lineRule="auto"/>
        <w:ind w:firstLine="482"/>
        <w:jc w:val="left"/>
        <w:outlineLvl w:val="2"/>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三、材料审核</w:t>
      </w:r>
    </w:p>
    <w:p w:rsidR="00232815" w:rsidRDefault="00544B05">
      <w:pPr>
        <w:widowControl/>
        <w:spacing w:line="360" w:lineRule="auto"/>
        <w:ind w:firstLine="482"/>
        <w:jc w:val="left"/>
        <w:outlineLvl w:val="2"/>
        <w:rPr>
          <w:rFonts w:ascii="宋体" w:hAnsi="宋体" w:cs="宋体"/>
          <w:color w:val="FF0000"/>
          <w:kern w:val="0"/>
          <w:sz w:val="24"/>
          <w:szCs w:val="24"/>
        </w:rPr>
      </w:pPr>
      <w:r w:rsidRPr="006743A3">
        <w:rPr>
          <w:rFonts w:ascii="宋体" w:hAnsi="宋体" w:cs="宋体" w:hint="eastAsia"/>
          <w:color w:val="000000" w:themeColor="text1"/>
          <w:kern w:val="0"/>
          <w:sz w:val="24"/>
          <w:szCs w:val="24"/>
        </w:rPr>
        <w:lastRenderedPageBreak/>
        <w:t>学院成立材料审核专家组对资格审查通过的考生申请材料进行审核，</w:t>
      </w:r>
      <w:r w:rsidR="006F04B1">
        <w:rPr>
          <w:rFonts w:ascii="宋体" w:hAnsi="宋体" w:cs="宋体"/>
          <w:color w:val="000000" w:themeColor="text1"/>
          <w:kern w:val="0"/>
          <w:sz w:val="24"/>
          <w:szCs w:val="24"/>
        </w:rPr>
        <w:t>主要</w:t>
      </w:r>
      <w:r w:rsidR="006F04B1">
        <w:rPr>
          <w:rFonts w:ascii="宋体" w:hAnsi="宋体" w:cs="宋体" w:hint="eastAsia"/>
          <w:color w:val="000000" w:themeColor="text1"/>
          <w:kern w:val="0"/>
          <w:sz w:val="24"/>
          <w:szCs w:val="24"/>
        </w:rPr>
        <w:t>内容包括</w:t>
      </w:r>
      <w:r w:rsidR="006F04B1">
        <w:rPr>
          <w:rFonts w:ascii="宋体" w:hAnsi="宋体" w:cs="宋体"/>
          <w:color w:val="000000" w:themeColor="text1"/>
          <w:kern w:val="0"/>
          <w:sz w:val="24"/>
          <w:szCs w:val="24"/>
        </w:rPr>
        <w:t>：</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1.申请者的本科和硕士阶段的学习经历、课程成绩（25%）</w:t>
      </w:r>
    </w:p>
    <w:p w:rsidR="00232815" w:rsidRDefault="006F04B1">
      <w:pPr>
        <w:widowControl/>
        <w:spacing w:line="360" w:lineRule="auto"/>
        <w:ind w:firstLine="482"/>
        <w:jc w:val="left"/>
        <w:outlineLvl w:val="2"/>
        <w:rPr>
          <w:rFonts w:ascii="宋体" w:hAnsi="宋体" w:cs="宋体"/>
          <w:color w:val="FF0000"/>
          <w:kern w:val="0"/>
          <w:sz w:val="24"/>
          <w:szCs w:val="24"/>
        </w:rPr>
      </w:pPr>
      <w:r>
        <w:rPr>
          <w:rFonts w:ascii="宋体" w:hAnsi="宋体" w:cs="宋体" w:hint="eastAsia"/>
          <w:color w:val="000000" w:themeColor="text1"/>
          <w:kern w:val="0"/>
          <w:sz w:val="24"/>
          <w:szCs w:val="24"/>
        </w:rPr>
        <w:t>2.申请者硕士学位论文情况（</w:t>
      </w:r>
      <w:r>
        <w:rPr>
          <w:rFonts w:ascii="宋体" w:hAnsi="宋体" w:cs="宋体"/>
          <w:color w:val="000000" w:themeColor="text1"/>
          <w:kern w:val="0"/>
          <w:sz w:val="24"/>
          <w:szCs w:val="24"/>
        </w:rPr>
        <w:t>含评议书，应届硕士毕业生硕士论文开题报告</w:t>
      </w:r>
      <w:r>
        <w:rPr>
          <w:rFonts w:ascii="宋体" w:hAnsi="宋体" w:cs="宋体" w:hint="eastAsia"/>
          <w:color w:val="000000" w:themeColor="text1"/>
          <w:kern w:val="0"/>
          <w:sz w:val="24"/>
          <w:szCs w:val="24"/>
        </w:rPr>
        <w:t>及论文初稿</w:t>
      </w:r>
      <w:r>
        <w:rPr>
          <w:rFonts w:ascii="宋体" w:hAnsi="宋体" w:cs="宋体"/>
          <w:color w:val="000000" w:themeColor="text1"/>
          <w:kern w:val="0"/>
          <w:sz w:val="24"/>
          <w:szCs w:val="24"/>
        </w:rPr>
        <w:t>）</w:t>
      </w:r>
      <w:r>
        <w:rPr>
          <w:rFonts w:ascii="宋体" w:hAnsi="宋体" w:cs="宋体" w:hint="eastAsia"/>
          <w:color w:val="000000" w:themeColor="text1"/>
          <w:kern w:val="0"/>
          <w:sz w:val="24"/>
          <w:szCs w:val="24"/>
        </w:rPr>
        <w:t>（25%）</w:t>
      </w:r>
    </w:p>
    <w:p w:rsidR="00232815" w:rsidRDefault="006F04B1">
      <w:pPr>
        <w:widowControl/>
        <w:spacing w:line="360" w:lineRule="auto"/>
        <w:ind w:firstLine="482"/>
        <w:jc w:val="left"/>
        <w:outlineLvl w:val="2"/>
        <w:rPr>
          <w:rFonts w:ascii="宋体" w:hAnsi="宋体" w:cs="宋体"/>
          <w:color w:val="FF0000"/>
          <w:kern w:val="0"/>
          <w:sz w:val="24"/>
          <w:szCs w:val="24"/>
        </w:rPr>
      </w:pPr>
      <w:r>
        <w:rPr>
          <w:rFonts w:ascii="宋体" w:hAnsi="宋体" w:cs="宋体" w:hint="eastAsia"/>
          <w:color w:val="000000" w:themeColor="text1"/>
          <w:kern w:val="0"/>
          <w:sz w:val="24"/>
          <w:szCs w:val="24"/>
        </w:rPr>
        <w:t>3.申请者</w:t>
      </w:r>
      <w:r>
        <w:rPr>
          <w:rFonts w:ascii="宋体" w:hAnsi="宋体" w:cs="宋体"/>
          <w:color w:val="000000" w:themeColor="text1"/>
          <w:kern w:val="0"/>
          <w:sz w:val="24"/>
          <w:szCs w:val="24"/>
        </w:rPr>
        <w:t>从事报考学科领域的</w:t>
      </w:r>
      <w:r>
        <w:rPr>
          <w:rFonts w:ascii="宋体" w:hAnsi="宋体" w:cs="宋体" w:hint="eastAsia"/>
          <w:color w:val="000000" w:themeColor="text1"/>
          <w:kern w:val="0"/>
          <w:sz w:val="24"/>
          <w:szCs w:val="24"/>
        </w:rPr>
        <w:t>相关研究</w:t>
      </w:r>
      <w:r>
        <w:rPr>
          <w:rFonts w:ascii="宋体" w:hAnsi="宋体" w:cs="宋体"/>
          <w:color w:val="000000" w:themeColor="text1"/>
          <w:kern w:val="0"/>
          <w:sz w:val="24"/>
          <w:szCs w:val="24"/>
        </w:rPr>
        <w:t>经历</w:t>
      </w:r>
      <w:r>
        <w:rPr>
          <w:rFonts w:ascii="宋体" w:hAnsi="宋体" w:cs="宋体" w:hint="eastAsia"/>
          <w:color w:val="000000" w:themeColor="text1"/>
          <w:kern w:val="0"/>
          <w:sz w:val="24"/>
          <w:szCs w:val="24"/>
        </w:rPr>
        <w:t>、已经取得的科研成果</w:t>
      </w:r>
      <w:r>
        <w:rPr>
          <w:rFonts w:ascii="宋体" w:hAnsi="宋体" w:cs="宋体"/>
          <w:color w:val="000000" w:themeColor="text1"/>
          <w:kern w:val="0"/>
          <w:sz w:val="24"/>
          <w:szCs w:val="24"/>
        </w:rPr>
        <w:t>（如发表论文、出版专著、科研获奖等）</w:t>
      </w:r>
      <w:r>
        <w:rPr>
          <w:rFonts w:ascii="宋体" w:hAnsi="宋体" w:cs="宋体" w:hint="eastAsia"/>
          <w:color w:val="000000" w:themeColor="text1"/>
          <w:kern w:val="0"/>
          <w:sz w:val="24"/>
          <w:szCs w:val="24"/>
        </w:rPr>
        <w:t>（25%）</w:t>
      </w:r>
    </w:p>
    <w:p w:rsidR="00232815" w:rsidRDefault="006F04B1">
      <w:pPr>
        <w:widowControl/>
        <w:spacing w:line="360" w:lineRule="auto"/>
        <w:ind w:firstLine="482"/>
        <w:jc w:val="left"/>
        <w:outlineLvl w:val="2"/>
        <w:rPr>
          <w:rFonts w:ascii="宋体" w:hAnsi="宋体" w:cs="宋体"/>
          <w:color w:val="FF0000"/>
          <w:kern w:val="0"/>
          <w:sz w:val="24"/>
          <w:szCs w:val="24"/>
        </w:rPr>
      </w:pPr>
      <w:r>
        <w:rPr>
          <w:rFonts w:ascii="宋体" w:hAnsi="宋体" w:cs="宋体" w:hint="eastAsia"/>
          <w:color w:val="000000" w:themeColor="text1"/>
          <w:kern w:val="0"/>
          <w:sz w:val="24"/>
          <w:szCs w:val="24"/>
        </w:rPr>
        <w:t>4.其他：专家推荐意见、考生自我评价、攻读博士学位期间拟进行的科学研究设想；</w:t>
      </w:r>
      <w:r>
        <w:rPr>
          <w:rFonts w:ascii="宋体" w:hAnsi="宋体" w:cs="宋体"/>
          <w:color w:val="000000" w:themeColor="text1"/>
          <w:kern w:val="0"/>
          <w:sz w:val="24"/>
          <w:szCs w:val="24"/>
        </w:rPr>
        <w:t>考生继续攻读博士学位研究生所具备的专业知识、科研能力、综合素质和培养潜力；其他与考生攻读博士学位研究生有关的因素等</w:t>
      </w:r>
      <w:r>
        <w:rPr>
          <w:rFonts w:ascii="宋体" w:hAnsi="宋体" w:cs="宋体" w:hint="eastAsia"/>
          <w:color w:val="000000" w:themeColor="text1"/>
          <w:kern w:val="0"/>
          <w:sz w:val="24"/>
          <w:szCs w:val="24"/>
        </w:rPr>
        <w:t>（25%）</w:t>
      </w:r>
      <w:r>
        <w:rPr>
          <w:rFonts w:ascii="宋体" w:hAnsi="宋体" w:cs="宋体"/>
          <w:color w:val="000000" w:themeColor="text1"/>
          <w:kern w:val="0"/>
          <w:sz w:val="24"/>
          <w:szCs w:val="24"/>
        </w:rPr>
        <w:t>。</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专家组成员根据材料审核情况独立匿名评分，考生所得分值按平均法进行计算。满分100分，60分为合格，材料审核通过的考生方能参加综合考核。材料审核通过的比例不超过</w:t>
      </w:r>
      <w:r>
        <w:rPr>
          <w:rFonts w:ascii="宋体" w:hAnsi="宋体" w:cs="宋体" w:hint="eastAsia"/>
          <w:kern w:val="0"/>
          <w:sz w:val="24"/>
          <w:szCs w:val="24"/>
        </w:rPr>
        <w:t>1:3。</w:t>
      </w:r>
    </w:p>
    <w:p w:rsidR="00232815" w:rsidRDefault="006F04B1">
      <w:pPr>
        <w:autoSpaceDE w:val="0"/>
        <w:autoSpaceDN w:val="0"/>
        <w:adjustRightIn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资格审查和材料审核通过名单经学院研究生招生工作领导小组确定后，报研究生院审核，审核通过后，公布名单。</w:t>
      </w:r>
    </w:p>
    <w:p w:rsidR="00232815" w:rsidRDefault="006F04B1">
      <w:pPr>
        <w:widowControl/>
        <w:spacing w:line="360" w:lineRule="auto"/>
        <w:ind w:firstLine="482"/>
        <w:jc w:val="left"/>
        <w:outlineLvl w:val="2"/>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四、外语水平考核</w:t>
      </w:r>
    </w:p>
    <w:p w:rsidR="00232815" w:rsidRDefault="006F04B1">
      <w:pPr>
        <w:autoSpaceDE w:val="0"/>
        <w:autoSpaceDN w:val="0"/>
        <w:adjustRightIn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资格审查和材料审核通过者</w:t>
      </w:r>
      <w:r>
        <w:rPr>
          <w:rFonts w:ascii="宋体" w:hAnsi="宋体" w:cs="宋体"/>
          <w:color w:val="000000" w:themeColor="text1"/>
          <w:kern w:val="0"/>
          <w:sz w:val="24"/>
          <w:szCs w:val="24"/>
        </w:rPr>
        <w:t>，</w:t>
      </w:r>
      <w:r w:rsidR="0080116B">
        <w:rPr>
          <w:rFonts w:ascii="宋体" w:hAnsi="宋体" w:cs="宋体" w:hint="eastAsia"/>
          <w:color w:val="000000" w:themeColor="text1"/>
          <w:kern w:val="0"/>
          <w:sz w:val="24"/>
          <w:szCs w:val="24"/>
        </w:rPr>
        <w:t>英语</w:t>
      </w:r>
      <w:r>
        <w:rPr>
          <w:rFonts w:ascii="宋体" w:hAnsi="宋体" w:cs="宋体" w:hint="eastAsia"/>
          <w:color w:val="000000" w:themeColor="text1"/>
          <w:kern w:val="0"/>
          <w:sz w:val="24"/>
          <w:szCs w:val="24"/>
        </w:rPr>
        <w:t>水平达到以下条件之一可以免试</w:t>
      </w:r>
      <w:r>
        <w:rPr>
          <w:rFonts w:ascii="宋体" w:hAnsi="宋体" w:cs="宋体"/>
          <w:color w:val="000000" w:themeColor="text1"/>
          <w:kern w:val="0"/>
          <w:sz w:val="24"/>
          <w:szCs w:val="24"/>
        </w:rPr>
        <w:t xml:space="preserve">: </w:t>
      </w:r>
    </w:p>
    <w:p w:rsidR="00232815" w:rsidRDefault="006F04B1">
      <w:pPr>
        <w:autoSpaceDE w:val="0"/>
        <w:autoSpaceDN w:val="0"/>
        <w:adjustRightIn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英语达到</w:t>
      </w:r>
      <w:r>
        <w:rPr>
          <w:rFonts w:ascii="宋体" w:hAnsi="宋体" w:cs="宋体"/>
          <w:color w:val="000000" w:themeColor="text1"/>
          <w:kern w:val="0"/>
          <w:sz w:val="24"/>
          <w:szCs w:val="24"/>
        </w:rPr>
        <w:t>CET-6</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425</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IELTS</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6.0</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TOEFL</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80</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120</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WSK</w:t>
      </w:r>
      <w:r>
        <w:rPr>
          <w:rFonts w:ascii="宋体" w:hAnsi="宋体" w:cs="宋体" w:hint="eastAsia"/>
          <w:color w:val="000000" w:themeColor="text1"/>
          <w:kern w:val="0"/>
          <w:sz w:val="24"/>
          <w:szCs w:val="24"/>
        </w:rPr>
        <w:t>（</w:t>
      </w:r>
      <w:r>
        <w:rPr>
          <w:rFonts w:ascii="宋体" w:hAnsi="宋体" w:cs="宋体"/>
          <w:color w:val="000000" w:themeColor="text1"/>
          <w:kern w:val="0"/>
          <w:sz w:val="24"/>
          <w:szCs w:val="24"/>
        </w:rPr>
        <w:t>PETS5</w:t>
      </w:r>
      <w:r>
        <w:rPr>
          <w:rFonts w:ascii="宋体" w:hAnsi="宋体" w:cs="宋体" w:hint="eastAsia"/>
          <w:color w:val="000000" w:themeColor="text1"/>
          <w:kern w:val="0"/>
          <w:sz w:val="24"/>
          <w:szCs w:val="24"/>
        </w:rPr>
        <w:t>）合格、或在英文国际期刊上以第一作者发表过高水平英文学术论文。</w:t>
      </w:r>
    </w:p>
    <w:p w:rsidR="00232815" w:rsidRDefault="006F04B1">
      <w:pPr>
        <w:autoSpaceDE w:val="0"/>
        <w:autoSpaceDN w:val="0"/>
        <w:adjustRightIn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若达不到以上</w:t>
      </w:r>
      <w:r>
        <w:rPr>
          <w:rFonts w:ascii="宋体" w:hAnsi="宋体" w:cs="宋体"/>
          <w:color w:val="000000" w:themeColor="text1"/>
          <w:kern w:val="0"/>
          <w:sz w:val="24"/>
          <w:szCs w:val="24"/>
        </w:rPr>
        <w:t>规定</w:t>
      </w:r>
      <w:r>
        <w:rPr>
          <w:rFonts w:ascii="宋体" w:hAnsi="宋体" w:cs="宋体" w:hint="eastAsia"/>
          <w:color w:val="000000" w:themeColor="text1"/>
          <w:kern w:val="0"/>
          <w:sz w:val="24"/>
          <w:szCs w:val="24"/>
        </w:rPr>
        <w:t>条件，则需参加学校统一组织的外国语水平考核，考核形式为笔试，考核成绩达不到学校</w:t>
      </w:r>
      <w:r>
        <w:rPr>
          <w:rFonts w:ascii="宋体" w:hAnsi="宋体" w:cs="宋体"/>
          <w:color w:val="000000" w:themeColor="text1"/>
          <w:kern w:val="0"/>
          <w:sz w:val="24"/>
          <w:szCs w:val="24"/>
        </w:rPr>
        <w:t>划定的</w:t>
      </w:r>
      <w:r>
        <w:rPr>
          <w:rFonts w:ascii="宋体" w:hAnsi="宋体" w:cs="宋体" w:hint="eastAsia"/>
          <w:color w:val="000000" w:themeColor="text1"/>
          <w:kern w:val="0"/>
          <w:sz w:val="24"/>
          <w:szCs w:val="24"/>
        </w:rPr>
        <w:t>合格线者不可参加综合考核</w:t>
      </w:r>
      <w:r>
        <w:rPr>
          <w:rFonts w:ascii="宋体" w:hAnsi="宋体" w:cs="宋体" w:hint="eastAsia"/>
          <w:kern w:val="0"/>
          <w:sz w:val="24"/>
          <w:szCs w:val="24"/>
        </w:rPr>
        <w:t>。考核时间预计为2021年3月上旬</w:t>
      </w:r>
      <w:r>
        <w:rPr>
          <w:rFonts w:ascii="宋体" w:hAnsi="宋体" w:cs="宋体"/>
          <w:kern w:val="0"/>
          <w:sz w:val="24"/>
          <w:szCs w:val="24"/>
        </w:rPr>
        <w:t>，</w:t>
      </w:r>
      <w:r>
        <w:rPr>
          <w:rFonts w:ascii="宋体" w:hAnsi="宋体" w:cs="宋体"/>
          <w:color w:val="000000" w:themeColor="text1"/>
          <w:kern w:val="0"/>
          <w:sz w:val="24"/>
          <w:szCs w:val="24"/>
        </w:rPr>
        <w:t>具体安排另行通知</w:t>
      </w:r>
      <w:r>
        <w:rPr>
          <w:rFonts w:ascii="宋体" w:hAnsi="宋体" w:cs="宋体" w:hint="eastAsia"/>
          <w:color w:val="000000" w:themeColor="text1"/>
          <w:kern w:val="0"/>
          <w:sz w:val="24"/>
          <w:szCs w:val="24"/>
        </w:rPr>
        <w:t>。</w:t>
      </w:r>
    </w:p>
    <w:p w:rsidR="00232815" w:rsidRDefault="006F04B1">
      <w:pPr>
        <w:widowControl/>
        <w:spacing w:line="360" w:lineRule="auto"/>
        <w:ind w:firstLine="482"/>
        <w:jc w:val="left"/>
        <w:outlineLvl w:val="2"/>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五、综合考核</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综合考核包括初试和复试两部分，初试为笔试，复试为面试。</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1.初试为笔试，满分100分，考试时间3小时。考查申请人对本学科专业基础知识、前沿知识的掌握程度。主要包括专业基础知识和专业前沿知识两部分。</w:t>
      </w:r>
    </w:p>
    <w:tbl>
      <w:tblPr>
        <w:tblStyle w:val="a9"/>
        <w:tblW w:w="9932" w:type="dxa"/>
        <w:jc w:val="center"/>
        <w:tblLook w:val="04A0" w:firstRow="1" w:lastRow="0" w:firstColumn="1" w:lastColumn="0" w:noHBand="0" w:noVBand="1"/>
      </w:tblPr>
      <w:tblGrid>
        <w:gridCol w:w="846"/>
        <w:gridCol w:w="1717"/>
        <w:gridCol w:w="1478"/>
        <w:gridCol w:w="3749"/>
        <w:gridCol w:w="2142"/>
      </w:tblGrid>
      <w:tr w:rsidR="00232815">
        <w:trPr>
          <w:jc w:val="center"/>
        </w:trPr>
        <w:tc>
          <w:tcPr>
            <w:tcW w:w="846" w:type="dxa"/>
            <w:vMerge w:val="restart"/>
            <w:vAlign w:val="center"/>
          </w:tcPr>
          <w:p w:rsidR="00232815" w:rsidRDefault="006F04B1">
            <w:pPr>
              <w:autoSpaceDE w:val="0"/>
              <w:autoSpaceDN w:val="0"/>
              <w:adjustRightInd w:val="0"/>
              <w:spacing w:line="360" w:lineRule="auto"/>
              <w:jc w:val="center"/>
              <w:rPr>
                <w:rFonts w:ascii="宋体" w:hAnsi="宋体" w:cs="宋体"/>
                <w:b/>
                <w:color w:val="000000" w:themeColor="text1"/>
                <w:kern w:val="0"/>
                <w:szCs w:val="21"/>
              </w:rPr>
            </w:pPr>
            <w:r>
              <w:rPr>
                <w:rFonts w:ascii="宋体" w:hAnsi="宋体" w:cs="宋体" w:hint="eastAsia"/>
                <w:b/>
                <w:color w:val="000000" w:themeColor="text1"/>
                <w:kern w:val="0"/>
                <w:szCs w:val="21"/>
              </w:rPr>
              <w:t>专业代码</w:t>
            </w:r>
          </w:p>
        </w:tc>
        <w:tc>
          <w:tcPr>
            <w:tcW w:w="1717" w:type="dxa"/>
            <w:vMerge w:val="restart"/>
            <w:vAlign w:val="center"/>
          </w:tcPr>
          <w:p w:rsidR="00232815" w:rsidRDefault="006F04B1">
            <w:pPr>
              <w:autoSpaceDE w:val="0"/>
              <w:autoSpaceDN w:val="0"/>
              <w:adjustRightInd w:val="0"/>
              <w:spacing w:line="360" w:lineRule="auto"/>
              <w:jc w:val="center"/>
              <w:rPr>
                <w:rFonts w:ascii="宋体" w:hAnsi="宋体" w:cs="宋体"/>
                <w:b/>
                <w:color w:val="000000" w:themeColor="text1"/>
                <w:kern w:val="0"/>
                <w:szCs w:val="21"/>
              </w:rPr>
            </w:pPr>
            <w:r>
              <w:rPr>
                <w:rFonts w:ascii="宋体" w:hAnsi="宋体" w:cs="宋体" w:hint="eastAsia"/>
                <w:b/>
                <w:color w:val="000000" w:themeColor="text1"/>
                <w:kern w:val="0"/>
                <w:szCs w:val="21"/>
              </w:rPr>
              <w:t>专业名称</w:t>
            </w:r>
          </w:p>
        </w:tc>
        <w:tc>
          <w:tcPr>
            <w:tcW w:w="1478" w:type="dxa"/>
            <w:vMerge w:val="restart"/>
            <w:vAlign w:val="center"/>
          </w:tcPr>
          <w:p w:rsidR="00232815" w:rsidRDefault="006F04B1">
            <w:pPr>
              <w:autoSpaceDE w:val="0"/>
              <w:autoSpaceDN w:val="0"/>
              <w:adjustRightInd w:val="0"/>
              <w:spacing w:line="360" w:lineRule="auto"/>
              <w:jc w:val="center"/>
              <w:rPr>
                <w:rFonts w:ascii="宋体" w:hAnsi="宋体" w:cs="宋体"/>
                <w:b/>
                <w:color w:val="000000" w:themeColor="text1"/>
                <w:kern w:val="0"/>
                <w:szCs w:val="21"/>
              </w:rPr>
            </w:pPr>
            <w:r>
              <w:rPr>
                <w:rFonts w:ascii="宋体" w:hAnsi="宋体" w:cs="宋体" w:hint="eastAsia"/>
                <w:b/>
                <w:color w:val="000000" w:themeColor="text1"/>
                <w:kern w:val="0"/>
                <w:szCs w:val="21"/>
              </w:rPr>
              <w:t>笔试科目</w:t>
            </w:r>
          </w:p>
        </w:tc>
        <w:tc>
          <w:tcPr>
            <w:tcW w:w="5891" w:type="dxa"/>
            <w:gridSpan w:val="2"/>
            <w:vAlign w:val="center"/>
          </w:tcPr>
          <w:p w:rsidR="00232815" w:rsidRDefault="006F04B1">
            <w:pPr>
              <w:autoSpaceDE w:val="0"/>
              <w:autoSpaceDN w:val="0"/>
              <w:adjustRightInd w:val="0"/>
              <w:spacing w:line="360" w:lineRule="auto"/>
              <w:jc w:val="center"/>
              <w:rPr>
                <w:rFonts w:ascii="宋体" w:hAnsi="宋体" w:cs="宋体"/>
                <w:b/>
                <w:color w:val="000000" w:themeColor="text1"/>
                <w:kern w:val="0"/>
                <w:szCs w:val="21"/>
              </w:rPr>
            </w:pPr>
            <w:r>
              <w:rPr>
                <w:rFonts w:ascii="宋体" w:hAnsi="宋体" w:cs="宋体" w:hint="eastAsia"/>
                <w:b/>
                <w:color w:val="000000" w:themeColor="text1"/>
                <w:kern w:val="0"/>
                <w:szCs w:val="21"/>
              </w:rPr>
              <w:t>考试内容及参考书目</w:t>
            </w:r>
          </w:p>
        </w:tc>
      </w:tr>
      <w:tr w:rsidR="00232815">
        <w:trPr>
          <w:jc w:val="center"/>
        </w:trPr>
        <w:tc>
          <w:tcPr>
            <w:tcW w:w="846" w:type="dxa"/>
            <w:vMerge/>
          </w:tcPr>
          <w:p w:rsidR="00232815" w:rsidRDefault="00232815">
            <w:pPr>
              <w:autoSpaceDE w:val="0"/>
              <w:autoSpaceDN w:val="0"/>
              <w:adjustRightInd w:val="0"/>
              <w:spacing w:line="360" w:lineRule="auto"/>
              <w:jc w:val="left"/>
              <w:rPr>
                <w:rFonts w:ascii="宋体" w:hAnsi="宋体" w:cs="宋体"/>
                <w:color w:val="000000" w:themeColor="text1"/>
                <w:kern w:val="0"/>
                <w:szCs w:val="21"/>
              </w:rPr>
            </w:pPr>
          </w:p>
        </w:tc>
        <w:tc>
          <w:tcPr>
            <w:tcW w:w="1717" w:type="dxa"/>
            <w:vMerge/>
          </w:tcPr>
          <w:p w:rsidR="00232815" w:rsidRDefault="00232815">
            <w:pPr>
              <w:autoSpaceDE w:val="0"/>
              <w:autoSpaceDN w:val="0"/>
              <w:adjustRightInd w:val="0"/>
              <w:spacing w:line="360" w:lineRule="auto"/>
              <w:jc w:val="left"/>
              <w:rPr>
                <w:rFonts w:ascii="宋体" w:hAnsi="宋体" w:cs="宋体"/>
                <w:color w:val="000000" w:themeColor="text1"/>
                <w:kern w:val="0"/>
                <w:szCs w:val="21"/>
              </w:rPr>
            </w:pPr>
          </w:p>
        </w:tc>
        <w:tc>
          <w:tcPr>
            <w:tcW w:w="1478" w:type="dxa"/>
            <w:vMerge/>
          </w:tcPr>
          <w:p w:rsidR="00232815" w:rsidRDefault="00232815">
            <w:pPr>
              <w:autoSpaceDE w:val="0"/>
              <w:autoSpaceDN w:val="0"/>
              <w:adjustRightInd w:val="0"/>
              <w:spacing w:line="360" w:lineRule="auto"/>
              <w:jc w:val="left"/>
              <w:rPr>
                <w:rFonts w:ascii="宋体" w:hAnsi="宋体" w:cs="宋体"/>
                <w:color w:val="000000" w:themeColor="text1"/>
                <w:kern w:val="0"/>
                <w:szCs w:val="21"/>
              </w:rPr>
            </w:pPr>
          </w:p>
        </w:tc>
        <w:tc>
          <w:tcPr>
            <w:tcW w:w="3749" w:type="dxa"/>
          </w:tcPr>
          <w:p w:rsidR="00232815" w:rsidRDefault="006F04B1">
            <w:pPr>
              <w:autoSpaceDE w:val="0"/>
              <w:autoSpaceDN w:val="0"/>
              <w:adjustRightInd w:val="0"/>
              <w:spacing w:line="360" w:lineRule="auto"/>
              <w:jc w:val="center"/>
              <w:rPr>
                <w:rFonts w:ascii="宋体" w:hAnsi="宋体" w:cs="宋体"/>
                <w:b/>
                <w:color w:val="000000" w:themeColor="text1"/>
                <w:kern w:val="0"/>
                <w:szCs w:val="21"/>
              </w:rPr>
            </w:pPr>
            <w:r>
              <w:rPr>
                <w:rFonts w:ascii="宋体" w:hAnsi="宋体" w:cs="宋体" w:hint="eastAsia"/>
                <w:b/>
                <w:color w:val="000000" w:themeColor="text1"/>
                <w:kern w:val="0"/>
                <w:szCs w:val="21"/>
              </w:rPr>
              <w:t>专业基础知识（40分）</w:t>
            </w:r>
          </w:p>
        </w:tc>
        <w:tc>
          <w:tcPr>
            <w:tcW w:w="2142" w:type="dxa"/>
          </w:tcPr>
          <w:p w:rsidR="00232815" w:rsidRDefault="006F04B1">
            <w:pPr>
              <w:autoSpaceDE w:val="0"/>
              <w:autoSpaceDN w:val="0"/>
              <w:adjustRightInd w:val="0"/>
              <w:spacing w:line="360" w:lineRule="auto"/>
              <w:jc w:val="center"/>
              <w:rPr>
                <w:rFonts w:ascii="宋体" w:hAnsi="宋体" w:cs="宋体"/>
                <w:b/>
                <w:color w:val="000000" w:themeColor="text1"/>
                <w:kern w:val="0"/>
                <w:szCs w:val="21"/>
              </w:rPr>
            </w:pPr>
            <w:r>
              <w:rPr>
                <w:rFonts w:ascii="宋体" w:hAnsi="宋体" w:cs="宋体" w:hint="eastAsia"/>
                <w:b/>
                <w:color w:val="000000" w:themeColor="text1"/>
                <w:kern w:val="0"/>
                <w:szCs w:val="21"/>
              </w:rPr>
              <w:t>专业前沿知识（60分）</w:t>
            </w:r>
          </w:p>
        </w:tc>
      </w:tr>
      <w:tr w:rsidR="00232815">
        <w:trPr>
          <w:trHeight w:val="1151"/>
          <w:jc w:val="center"/>
        </w:trPr>
        <w:tc>
          <w:tcPr>
            <w:tcW w:w="846" w:type="dxa"/>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030300</w:t>
            </w:r>
          </w:p>
        </w:tc>
        <w:tc>
          <w:tcPr>
            <w:tcW w:w="1717" w:type="dxa"/>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社会学</w:t>
            </w:r>
          </w:p>
        </w:tc>
        <w:tc>
          <w:tcPr>
            <w:tcW w:w="1478" w:type="dxa"/>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社会学综合</w:t>
            </w:r>
          </w:p>
        </w:tc>
        <w:tc>
          <w:tcPr>
            <w:tcW w:w="3749" w:type="dxa"/>
            <w:vMerge w:val="restart"/>
            <w:vAlign w:val="center"/>
          </w:tcPr>
          <w:p w:rsidR="00232815" w:rsidRDefault="006F04B1">
            <w:pPr>
              <w:autoSpaceDE w:val="0"/>
              <w:autoSpaceDN w:val="0"/>
              <w:adjustRightIn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（1）科塞，《社会思想名家》，上海人民出版社，2007年；</w:t>
            </w:r>
          </w:p>
          <w:p w:rsidR="00232815" w:rsidRDefault="006F04B1">
            <w:pPr>
              <w:autoSpaceDE w:val="0"/>
              <w:autoSpaceDN w:val="0"/>
              <w:adjustRightInd w:val="0"/>
              <w:spacing w:line="360" w:lineRule="auto"/>
              <w:jc w:val="left"/>
              <w:rPr>
                <w:rFonts w:ascii="宋体" w:hAnsi="宋体" w:cs="宋体"/>
                <w:color w:val="000000" w:themeColor="text1"/>
                <w:szCs w:val="21"/>
              </w:rPr>
            </w:pPr>
            <w:r>
              <w:rPr>
                <w:rFonts w:ascii="宋体" w:hAnsi="宋体" w:cs="宋体" w:hint="eastAsia"/>
                <w:color w:val="000000" w:themeColor="text1"/>
                <w:szCs w:val="21"/>
              </w:rPr>
              <w:t>（2）风笑天，《社会研究方法》（第五</w:t>
            </w:r>
            <w:r>
              <w:rPr>
                <w:rFonts w:ascii="宋体" w:hAnsi="宋体" w:cs="宋体" w:hint="eastAsia"/>
                <w:color w:val="000000" w:themeColor="text1"/>
                <w:szCs w:val="21"/>
              </w:rPr>
              <w:lastRenderedPageBreak/>
              <w:t>版），中国人民大学出版社，2018年</w:t>
            </w:r>
            <w:r>
              <w:rPr>
                <w:rFonts w:ascii="宋体" w:hAnsi="宋体" w:cs="宋体"/>
                <w:color w:val="000000" w:themeColor="text1"/>
                <w:szCs w:val="21"/>
              </w:rPr>
              <w:t>；</w:t>
            </w:r>
          </w:p>
          <w:p w:rsidR="00232815" w:rsidRDefault="006F04B1">
            <w:pPr>
              <w:autoSpaceDE w:val="0"/>
              <w:autoSpaceDN w:val="0"/>
              <w:adjustRightInd w:val="0"/>
              <w:spacing w:line="360" w:lineRule="auto"/>
              <w:jc w:val="left"/>
              <w:rPr>
                <w:rFonts w:ascii="宋体" w:hAnsi="宋体" w:cs="宋体"/>
                <w:color w:val="000000" w:themeColor="text1"/>
                <w:kern w:val="0"/>
                <w:szCs w:val="21"/>
              </w:rPr>
            </w:pPr>
            <w:r>
              <w:rPr>
                <w:rFonts w:ascii="宋体" w:hAnsi="宋体" w:cs="宋体" w:hint="eastAsia"/>
                <w:color w:val="000000" w:themeColor="text1"/>
                <w:szCs w:val="21"/>
              </w:rPr>
              <w:t>（3）费孝通，《乡土中国》（版本不限）。</w:t>
            </w:r>
          </w:p>
        </w:tc>
        <w:tc>
          <w:tcPr>
            <w:tcW w:w="2142" w:type="dxa"/>
            <w:vMerge w:val="restart"/>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rPr>
              <w:lastRenderedPageBreak/>
              <w:t>不列参考书</w:t>
            </w:r>
          </w:p>
        </w:tc>
      </w:tr>
      <w:tr w:rsidR="00232815">
        <w:trPr>
          <w:jc w:val="center"/>
        </w:trPr>
        <w:tc>
          <w:tcPr>
            <w:tcW w:w="846" w:type="dxa"/>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0303Z1</w:t>
            </w:r>
          </w:p>
        </w:tc>
        <w:tc>
          <w:tcPr>
            <w:tcW w:w="1717" w:type="dxa"/>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szCs w:val="21"/>
              </w:rPr>
              <w:t>社会治理与公共</w:t>
            </w:r>
            <w:r>
              <w:rPr>
                <w:rFonts w:ascii="宋体" w:hAnsi="宋体" w:cs="宋体" w:hint="eastAsia"/>
                <w:color w:val="000000" w:themeColor="text1"/>
                <w:szCs w:val="21"/>
              </w:rPr>
              <w:lastRenderedPageBreak/>
              <w:t>政策</w:t>
            </w:r>
          </w:p>
        </w:tc>
        <w:tc>
          <w:tcPr>
            <w:tcW w:w="1478" w:type="dxa"/>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szCs w:val="21"/>
              </w:rPr>
              <w:lastRenderedPageBreak/>
              <w:t>社会治理与公</w:t>
            </w:r>
            <w:r>
              <w:rPr>
                <w:rFonts w:ascii="宋体" w:hAnsi="宋体" w:cs="宋体" w:hint="eastAsia"/>
                <w:color w:val="000000" w:themeColor="text1"/>
                <w:szCs w:val="21"/>
              </w:rPr>
              <w:lastRenderedPageBreak/>
              <w:t>共政策综合</w:t>
            </w:r>
          </w:p>
        </w:tc>
        <w:tc>
          <w:tcPr>
            <w:tcW w:w="3749" w:type="dxa"/>
            <w:vMerge/>
            <w:vAlign w:val="center"/>
          </w:tcPr>
          <w:p w:rsidR="00232815" w:rsidRDefault="00232815">
            <w:pPr>
              <w:autoSpaceDE w:val="0"/>
              <w:autoSpaceDN w:val="0"/>
              <w:adjustRightInd w:val="0"/>
              <w:spacing w:line="360" w:lineRule="auto"/>
              <w:jc w:val="center"/>
              <w:rPr>
                <w:rFonts w:ascii="宋体" w:hAnsi="宋体" w:cs="宋体"/>
                <w:color w:val="000000" w:themeColor="text1"/>
                <w:kern w:val="0"/>
                <w:szCs w:val="21"/>
              </w:rPr>
            </w:pPr>
          </w:p>
        </w:tc>
        <w:tc>
          <w:tcPr>
            <w:tcW w:w="2142" w:type="dxa"/>
            <w:vMerge/>
            <w:vAlign w:val="center"/>
          </w:tcPr>
          <w:p w:rsidR="00232815" w:rsidRDefault="00232815">
            <w:pPr>
              <w:autoSpaceDE w:val="0"/>
              <w:autoSpaceDN w:val="0"/>
              <w:adjustRightInd w:val="0"/>
              <w:spacing w:line="360" w:lineRule="auto"/>
              <w:jc w:val="center"/>
              <w:rPr>
                <w:rFonts w:ascii="宋体" w:hAnsi="宋体" w:cs="宋体"/>
                <w:color w:val="000000" w:themeColor="text1"/>
                <w:kern w:val="0"/>
                <w:szCs w:val="21"/>
              </w:rPr>
            </w:pPr>
          </w:p>
        </w:tc>
      </w:tr>
      <w:tr w:rsidR="00232815">
        <w:trPr>
          <w:jc w:val="center"/>
        </w:trPr>
        <w:tc>
          <w:tcPr>
            <w:tcW w:w="846" w:type="dxa"/>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1201Z5</w:t>
            </w:r>
          </w:p>
        </w:tc>
        <w:tc>
          <w:tcPr>
            <w:tcW w:w="1717" w:type="dxa"/>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移民科学与管理</w:t>
            </w:r>
          </w:p>
        </w:tc>
        <w:tc>
          <w:tcPr>
            <w:tcW w:w="1478" w:type="dxa"/>
            <w:vAlign w:val="center"/>
          </w:tcPr>
          <w:p w:rsidR="00232815" w:rsidRDefault="006F04B1">
            <w:pPr>
              <w:autoSpaceDE w:val="0"/>
              <w:autoSpaceDN w:val="0"/>
              <w:adjustRightInd w:val="0"/>
              <w:spacing w:line="360" w:lineRule="auto"/>
              <w:jc w:val="center"/>
              <w:rPr>
                <w:rFonts w:ascii="宋体" w:hAnsi="宋体" w:cs="宋体"/>
                <w:color w:val="000000" w:themeColor="text1"/>
                <w:kern w:val="0"/>
                <w:szCs w:val="21"/>
              </w:rPr>
            </w:pPr>
            <w:r>
              <w:rPr>
                <w:rFonts w:ascii="宋体" w:hAnsi="宋体" w:cs="宋体" w:hint="eastAsia"/>
                <w:color w:val="000000" w:themeColor="text1"/>
                <w:kern w:val="0"/>
                <w:szCs w:val="21"/>
              </w:rPr>
              <w:t>移民科学与管理综合</w:t>
            </w:r>
          </w:p>
        </w:tc>
        <w:tc>
          <w:tcPr>
            <w:tcW w:w="3749" w:type="dxa"/>
            <w:vAlign w:val="center"/>
          </w:tcPr>
          <w:p w:rsidR="00232815" w:rsidRDefault="006F04B1">
            <w:pPr>
              <w:autoSpaceDE w:val="0"/>
              <w:autoSpaceDN w:val="0"/>
              <w:adjustRightInd w:val="0"/>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（1）毕宝德，《土地经济学》(第六版)，中国人民大学出版</w:t>
            </w:r>
            <w:r>
              <w:rPr>
                <w:rFonts w:ascii="宋体" w:hAnsi="宋体" w:cs="宋体" w:hint="eastAsia"/>
                <w:color w:val="000000" w:themeColor="text1"/>
                <w:szCs w:val="21"/>
              </w:rPr>
              <w:t>社</w:t>
            </w:r>
            <w:r>
              <w:rPr>
                <w:rFonts w:ascii="宋体" w:hAnsi="宋体" w:cs="宋体" w:hint="eastAsia"/>
                <w:color w:val="000000" w:themeColor="text1"/>
                <w:kern w:val="0"/>
                <w:szCs w:val="21"/>
              </w:rPr>
              <w:t>，2011年；</w:t>
            </w:r>
          </w:p>
          <w:p w:rsidR="00232815" w:rsidRDefault="006F04B1">
            <w:pPr>
              <w:autoSpaceDE w:val="0"/>
              <w:autoSpaceDN w:val="0"/>
              <w:adjustRightInd w:val="0"/>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（2）施国庆、</w:t>
            </w:r>
            <w:proofErr w:type="gramStart"/>
            <w:r>
              <w:rPr>
                <w:rFonts w:ascii="宋体" w:hAnsi="宋体" w:cs="宋体" w:hint="eastAsia"/>
                <w:color w:val="000000" w:themeColor="text1"/>
                <w:kern w:val="0"/>
                <w:szCs w:val="21"/>
              </w:rPr>
              <w:t>陈绍军</w:t>
            </w:r>
            <w:proofErr w:type="gramEnd"/>
            <w:r>
              <w:rPr>
                <w:rFonts w:ascii="宋体" w:hAnsi="宋体" w:cs="宋体" w:hint="eastAsia"/>
                <w:color w:val="000000" w:themeColor="text1"/>
                <w:kern w:val="0"/>
                <w:szCs w:val="21"/>
              </w:rPr>
              <w:t>等，《中国移民政策与实践》，宁夏人民出版社，2001年；</w:t>
            </w:r>
          </w:p>
          <w:p w:rsidR="00232815" w:rsidRDefault="006F04B1">
            <w:pPr>
              <w:autoSpaceDE w:val="0"/>
              <w:autoSpaceDN w:val="0"/>
              <w:adjustRightInd w:val="0"/>
              <w:spacing w:line="36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（3）施国庆，《移民权益保障与政府责任》，吉林人民出版社，2010年。</w:t>
            </w:r>
          </w:p>
        </w:tc>
        <w:tc>
          <w:tcPr>
            <w:tcW w:w="2142" w:type="dxa"/>
            <w:vMerge/>
            <w:vAlign w:val="center"/>
          </w:tcPr>
          <w:p w:rsidR="00232815" w:rsidRDefault="00232815">
            <w:pPr>
              <w:autoSpaceDE w:val="0"/>
              <w:autoSpaceDN w:val="0"/>
              <w:adjustRightInd w:val="0"/>
              <w:spacing w:line="360" w:lineRule="auto"/>
              <w:jc w:val="center"/>
              <w:rPr>
                <w:rFonts w:ascii="宋体" w:hAnsi="宋体" w:cs="宋体"/>
                <w:color w:val="000000" w:themeColor="text1"/>
                <w:kern w:val="0"/>
                <w:szCs w:val="21"/>
              </w:rPr>
            </w:pPr>
          </w:p>
        </w:tc>
      </w:tr>
    </w:tbl>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考核时间预计为202</w:t>
      </w:r>
      <w:r>
        <w:rPr>
          <w:rFonts w:ascii="宋体" w:hAnsi="宋体" w:cs="宋体"/>
          <w:color w:val="000000" w:themeColor="text1"/>
          <w:kern w:val="0"/>
          <w:sz w:val="24"/>
          <w:szCs w:val="24"/>
        </w:rPr>
        <w:t>1</w:t>
      </w:r>
      <w:r>
        <w:rPr>
          <w:rFonts w:ascii="宋体" w:hAnsi="宋体" w:cs="宋体" w:hint="eastAsia"/>
          <w:color w:val="000000" w:themeColor="text1"/>
          <w:kern w:val="0"/>
          <w:sz w:val="24"/>
          <w:szCs w:val="24"/>
        </w:rPr>
        <w:t>年4月-5月，具体安排另行通知。</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2.复试为面试，满分100分，60分为合格，每生面试时间不少于30分钟。主要考查申请者综合运用所学知识的能力、科研创新能力、对本学科前沿领域及最新研究动态的掌握情况、外语水平及能力、培养的潜能和素质等，同时还将考核申请者的思想政治素质、道德品质、心理健康、诚信以及综合素质等方面。</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考核时间预计为202</w:t>
      </w:r>
      <w:r>
        <w:rPr>
          <w:rFonts w:ascii="宋体" w:hAnsi="宋体" w:cs="宋体"/>
          <w:color w:val="000000" w:themeColor="text1"/>
          <w:kern w:val="0"/>
          <w:sz w:val="24"/>
          <w:szCs w:val="24"/>
        </w:rPr>
        <w:t>1</w:t>
      </w:r>
      <w:r>
        <w:rPr>
          <w:rFonts w:ascii="宋体" w:hAnsi="宋体" w:cs="宋体" w:hint="eastAsia"/>
          <w:color w:val="000000" w:themeColor="text1"/>
          <w:kern w:val="0"/>
          <w:sz w:val="24"/>
          <w:szCs w:val="24"/>
        </w:rPr>
        <w:t>年4月-5月，具体安排另行通知。</w:t>
      </w:r>
    </w:p>
    <w:p w:rsidR="00232815" w:rsidRDefault="006F04B1">
      <w:pPr>
        <w:autoSpaceDE w:val="0"/>
        <w:autoSpaceDN w:val="0"/>
        <w:adjustRightInd w:val="0"/>
        <w:spacing w:line="360" w:lineRule="auto"/>
        <w:ind w:firstLineChars="200" w:firstLine="480"/>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3.考生必须按时参加学院安排的综合考核。对不按时参加考核、考核不合格或未落实导师的考生，不予录取。</w:t>
      </w:r>
    </w:p>
    <w:p w:rsidR="00232815" w:rsidRDefault="006F04B1">
      <w:pPr>
        <w:widowControl/>
        <w:spacing w:line="360" w:lineRule="auto"/>
        <w:ind w:firstLine="482"/>
        <w:jc w:val="left"/>
        <w:outlineLvl w:val="2"/>
        <w:rPr>
          <w:rFonts w:ascii="宋体" w:hAnsi="宋体" w:cs="宋体"/>
          <w:b/>
          <w:bCs/>
          <w:color w:val="000000" w:themeColor="text1"/>
          <w:kern w:val="0"/>
          <w:sz w:val="24"/>
          <w:szCs w:val="24"/>
        </w:rPr>
      </w:pPr>
      <w:r>
        <w:rPr>
          <w:rFonts w:ascii="宋体" w:hAnsi="宋体" w:cs="宋体" w:hint="eastAsia"/>
          <w:b/>
          <w:bCs/>
          <w:color w:val="000000" w:themeColor="text1"/>
          <w:kern w:val="0"/>
          <w:sz w:val="24"/>
          <w:szCs w:val="24"/>
        </w:rPr>
        <w:t>六、录取</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1.入学总成绩=材料审核成绩×30%+初试成绩×35%+复试成绩×35%。</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2.有以下情况之一者不予录取：材料审核未通过；外语水平考核不合格；综合考核不合格；同等学力加试不合格;未落实导师。</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color w:val="000000" w:themeColor="text1"/>
          <w:kern w:val="0"/>
          <w:sz w:val="24"/>
          <w:szCs w:val="24"/>
        </w:rPr>
        <w:t>3</w:t>
      </w:r>
      <w:r>
        <w:rPr>
          <w:rFonts w:ascii="宋体" w:hAnsi="宋体" w:cs="宋体" w:hint="eastAsia"/>
          <w:color w:val="000000" w:themeColor="text1"/>
          <w:kern w:val="0"/>
          <w:sz w:val="24"/>
          <w:szCs w:val="24"/>
        </w:rPr>
        <w:t>.</w:t>
      </w:r>
      <w:r w:rsidR="006A5D92">
        <w:rPr>
          <w:rFonts w:ascii="宋体" w:hAnsi="宋体" w:cs="宋体" w:hint="eastAsia"/>
          <w:color w:val="000000" w:themeColor="text1"/>
          <w:kern w:val="0"/>
          <w:sz w:val="24"/>
          <w:szCs w:val="24"/>
        </w:rPr>
        <w:t>学院</w:t>
      </w:r>
      <w:r>
        <w:rPr>
          <w:rFonts w:ascii="宋体" w:hAnsi="宋体" w:cs="宋体" w:hint="eastAsia"/>
          <w:color w:val="000000" w:themeColor="text1"/>
          <w:kern w:val="0"/>
          <w:sz w:val="24"/>
          <w:szCs w:val="24"/>
        </w:rPr>
        <w:t>研究生招生工作领导小组在各专业招生计划内，按入学总成绩及博士生导师年度招生名额提出建议录取名单，报学校审定。</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color w:val="000000" w:themeColor="text1"/>
          <w:kern w:val="0"/>
          <w:sz w:val="24"/>
          <w:szCs w:val="24"/>
        </w:rPr>
        <w:t>4</w:t>
      </w:r>
      <w:r>
        <w:rPr>
          <w:rFonts w:ascii="宋体" w:hAnsi="宋体" w:cs="宋体" w:hint="eastAsia"/>
          <w:color w:val="000000" w:themeColor="text1"/>
          <w:kern w:val="0"/>
          <w:sz w:val="24"/>
          <w:szCs w:val="24"/>
        </w:rPr>
        <w:t>.在职人员报考定向博士生，录取比例原则上不超过录取人数的8%。</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六、其他</w:t>
      </w:r>
    </w:p>
    <w:p w:rsidR="00232815" w:rsidRDefault="006F04B1">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1.本实施细则解释权由公共管理学院博士研究生招生工作领导小组负责解释。</w:t>
      </w:r>
    </w:p>
    <w:p w:rsidR="00544B05" w:rsidRDefault="00544B05" w:rsidP="00544B05">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2.材料邮寄地址：江苏省南京市</w:t>
      </w:r>
      <w:proofErr w:type="gramStart"/>
      <w:r>
        <w:rPr>
          <w:rFonts w:ascii="宋体" w:hAnsi="宋体" w:cs="宋体" w:hint="eastAsia"/>
          <w:color w:val="000000" w:themeColor="text1"/>
          <w:kern w:val="0"/>
          <w:sz w:val="24"/>
          <w:szCs w:val="24"/>
        </w:rPr>
        <w:t>江宁区佛城西</w:t>
      </w:r>
      <w:proofErr w:type="gramEnd"/>
      <w:r>
        <w:rPr>
          <w:rFonts w:ascii="宋体" w:hAnsi="宋体" w:cs="宋体" w:hint="eastAsia"/>
          <w:color w:val="000000" w:themeColor="text1"/>
          <w:kern w:val="0"/>
          <w:sz w:val="24"/>
          <w:szCs w:val="24"/>
        </w:rPr>
        <w:t>路8号河海大学江宁</w:t>
      </w:r>
      <w:proofErr w:type="gramStart"/>
      <w:r>
        <w:rPr>
          <w:rFonts w:ascii="宋体" w:hAnsi="宋体" w:cs="宋体" w:hint="eastAsia"/>
          <w:color w:val="000000" w:themeColor="text1"/>
          <w:kern w:val="0"/>
          <w:sz w:val="24"/>
          <w:szCs w:val="24"/>
        </w:rPr>
        <w:t>校区厚学楼</w:t>
      </w:r>
      <w:proofErr w:type="gramEnd"/>
      <w:r w:rsidR="002E1FF8">
        <w:rPr>
          <w:rFonts w:ascii="宋体" w:hAnsi="宋体" w:cs="宋体" w:hint="eastAsia"/>
          <w:color w:val="000000" w:themeColor="text1"/>
          <w:kern w:val="0"/>
          <w:sz w:val="24"/>
          <w:szCs w:val="24"/>
        </w:rPr>
        <w:t>507，</w:t>
      </w:r>
      <w:r>
        <w:rPr>
          <w:rFonts w:ascii="宋体" w:hAnsi="宋体" w:cs="宋体" w:hint="eastAsia"/>
          <w:color w:val="000000" w:themeColor="text1"/>
          <w:kern w:val="0"/>
          <w:sz w:val="24"/>
          <w:szCs w:val="24"/>
        </w:rPr>
        <w:t>邮编：2111</w:t>
      </w:r>
      <w:r w:rsidR="002E1FF8">
        <w:rPr>
          <w:rFonts w:ascii="宋体" w:hAnsi="宋体" w:cs="宋体" w:hint="eastAsia"/>
          <w:color w:val="000000" w:themeColor="text1"/>
          <w:kern w:val="0"/>
          <w:sz w:val="24"/>
          <w:szCs w:val="24"/>
        </w:rPr>
        <w:t>00</w:t>
      </w:r>
    </w:p>
    <w:p w:rsidR="00232815" w:rsidRDefault="00544B05">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3</w:t>
      </w:r>
      <w:r w:rsidR="006F04B1">
        <w:rPr>
          <w:rFonts w:ascii="宋体" w:hAnsi="宋体" w:cs="宋体" w:hint="eastAsia"/>
          <w:color w:val="000000" w:themeColor="text1"/>
          <w:kern w:val="0"/>
          <w:sz w:val="24"/>
          <w:szCs w:val="24"/>
        </w:rPr>
        <w:t>.</w:t>
      </w:r>
      <w:r w:rsidR="002E1FF8">
        <w:rPr>
          <w:rFonts w:ascii="宋体" w:hAnsi="宋体" w:cs="宋体" w:hint="eastAsia"/>
          <w:color w:val="000000" w:themeColor="text1"/>
          <w:kern w:val="0"/>
          <w:sz w:val="24"/>
          <w:szCs w:val="24"/>
        </w:rPr>
        <w:t>联系</w:t>
      </w:r>
      <w:r w:rsidR="006F04B1">
        <w:rPr>
          <w:rFonts w:ascii="宋体" w:hAnsi="宋体" w:cs="宋体" w:hint="eastAsia"/>
          <w:color w:val="000000" w:themeColor="text1"/>
          <w:kern w:val="0"/>
          <w:sz w:val="24"/>
          <w:szCs w:val="24"/>
        </w:rPr>
        <w:t>电话： 025-83787376                    联系人：苏老师</w:t>
      </w:r>
    </w:p>
    <w:p w:rsidR="00232815" w:rsidRDefault="00544B05">
      <w:pPr>
        <w:widowControl/>
        <w:spacing w:line="360" w:lineRule="auto"/>
        <w:ind w:firstLine="482"/>
        <w:jc w:val="lef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lastRenderedPageBreak/>
        <w:t>4</w:t>
      </w:r>
      <w:r w:rsidR="006F04B1">
        <w:rPr>
          <w:rFonts w:ascii="宋体" w:hAnsi="宋体" w:cs="宋体" w:hint="eastAsia"/>
          <w:color w:val="000000" w:themeColor="text1"/>
          <w:kern w:val="0"/>
          <w:sz w:val="24"/>
          <w:szCs w:val="24"/>
        </w:rPr>
        <w:t>.监督电话： 025-8378</w:t>
      </w:r>
      <w:r w:rsidR="006743A3">
        <w:rPr>
          <w:rFonts w:ascii="宋体" w:hAnsi="宋体" w:cs="宋体" w:hint="eastAsia"/>
          <w:color w:val="000000" w:themeColor="text1"/>
          <w:kern w:val="0"/>
          <w:sz w:val="24"/>
          <w:szCs w:val="24"/>
        </w:rPr>
        <w:t>6</w:t>
      </w:r>
      <w:r w:rsidR="002B75F9">
        <w:rPr>
          <w:rFonts w:ascii="宋体" w:hAnsi="宋体" w:cs="宋体" w:hint="eastAsia"/>
          <w:color w:val="000000" w:themeColor="text1"/>
          <w:kern w:val="0"/>
          <w:sz w:val="24"/>
          <w:szCs w:val="24"/>
        </w:rPr>
        <w:t>303</w:t>
      </w:r>
      <w:r w:rsidR="006F04B1">
        <w:rPr>
          <w:rFonts w:ascii="宋体" w:hAnsi="宋体" w:cs="宋体" w:hint="eastAsia"/>
          <w:color w:val="000000" w:themeColor="text1"/>
          <w:kern w:val="0"/>
          <w:sz w:val="24"/>
          <w:szCs w:val="24"/>
        </w:rPr>
        <w:t>（</w:t>
      </w:r>
      <w:r w:rsidR="002B75F9">
        <w:rPr>
          <w:rFonts w:ascii="宋体" w:hAnsi="宋体" w:cs="宋体" w:hint="eastAsia"/>
          <w:color w:val="000000" w:themeColor="text1"/>
          <w:kern w:val="0"/>
          <w:sz w:val="24"/>
          <w:szCs w:val="24"/>
        </w:rPr>
        <w:t>研究生院</w:t>
      </w:r>
      <w:r w:rsidR="006F04B1">
        <w:rPr>
          <w:rFonts w:ascii="宋体" w:hAnsi="宋体" w:cs="宋体" w:hint="eastAsia"/>
          <w:color w:val="000000" w:themeColor="text1"/>
          <w:kern w:val="0"/>
          <w:sz w:val="24"/>
          <w:szCs w:val="24"/>
        </w:rPr>
        <w:t>），025-83786018（校监察处）</w:t>
      </w:r>
    </w:p>
    <w:p w:rsidR="00544B05" w:rsidRDefault="00544B05">
      <w:pPr>
        <w:widowControl/>
        <w:spacing w:line="360" w:lineRule="auto"/>
        <w:ind w:firstLine="482"/>
        <w:jc w:val="left"/>
        <w:outlineLvl w:val="2"/>
        <w:rPr>
          <w:rFonts w:ascii="宋体" w:hAnsi="宋体" w:cs="宋体"/>
          <w:color w:val="000000" w:themeColor="text1"/>
          <w:kern w:val="0"/>
          <w:sz w:val="24"/>
          <w:szCs w:val="24"/>
        </w:rPr>
      </w:pPr>
    </w:p>
    <w:p w:rsidR="00232815" w:rsidRDefault="00232815">
      <w:pPr>
        <w:widowControl/>
        <w:spacing w:line="360" w:lineRule="auto"/>
        <w:ind w:firstLine="482"/>
        <w:jc w:val="left"/>
        <w:outlineLvl w:val="2"/>
        <w:rPr>
          <w:rFonts w:ascii="宋体" w:hAnsi="宋体" w:cs="宋体"/>
          <w:color w:val="000000" w:themeColor="text1"/>
          <w:kern w:val="0"/>
          <w:sz w:val="24"/>
          <w:szCs w:val="24"/>
        </w:rPr>
      </w:pPr>
    </w:p>
    <w:p w:rsidR="00232815" w:rsidRDefault="00232815">
      <w:pPr>
        <w:widowControl/>
        <w:spacing w:line="360" w:lineRule="auto"/>
        <w:ind w:firstLine="482"/>
        <w:jc w:val="left"/>
        <w:outlineLvl w:val="2"/>
        <w:rPr>
          <w:rFonts w:ascii="宋体" w:hAnsi="宋体" w:cs="宋体"/>
          <w:color w:val="000000" w:themeColor="text1"/>
          <w:kern w:val="0"/>
          <w:sz w:val="24"/>
          <w:szCs w:val="24"/>
        </w:rPr>
      </w:pPr>
    </w:p>
    <w:p w:rsidR="00232815" w:rsidRDefault="006F04B1" w:rsidP="006A5D92">
      <w:pPr>
        <w:widowControl/>
        <w:spacing w:line="360" w:lineRule="auto"/>
        <w:ind w:right="240" w:firstLine="482"/>
        <w:jc w:val="righ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公共管理学院</w:t>
      </w:r>
    </w:p>
    <w:p w:rsidR="00232815" w:rsidRDefault="00770A50" w:rsidP="00770A50">
      <w:pPr>
        <w:widowControl/>
        <w:wordWrap w:val="0"/>
        <w:spacing w:line="360" w:lineRule="auto"/>
        <w:ind w:firstLine="482"/>
        <w:jc w:val="right"/>
        <w:outlineLvl w:val="2"/>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   </w:t>
      </w:r>
      <w:r w:rsidR="006F04B1">
        <w:rPr>
          <w:rFonts w:ascii="宋体" w:hAnsi="宋体" w:cs="宋体" w:hint="eastAsia"/>
          <w:color w:val="000000" w:themeColor="text1"/>
          <w:kern w:val="0"/>
          <w:sz w:val="24"/>
          <w:szCs w:val="24"/>
        </w:rPr>
        <w:t>2020年11月</w:t>
      </w:r>
      <w:r w:rsidR="006F04B1">
        <w:rPr>
          <w:rFonts w:ascii="宋体" w:hAnsi="宋体" w:cs="宋体"/>
          <w:color w:val="000000" w:themeColor="text1"/>
          <w:kern w:val="0"/>
          <w:sz w:val="24"/>
          <w:szCs w:val="24"/>
        </w:rPr>
        <w:t>1</w:t>
      </w:r>
      <w:r w:rsidR="006F04B1">
        <w:rPr>
          <w:rFonts w:ascii="宋体" w:hAnsi="宋体" w:cs="宋体" w:hint="eastAsia"/>
          <w:color w:val="000000" w:themeColor="text1"/>
          <w:kern w:val="0"/>
          <w:sz w:val="24"/>
          <w:szCs w:val="24"/>
        </w:rPr>
        <w:t>5日</w:t>
      </w:r>
    </w:p>
    <w:sectPr w:rsidR="00232815" w:rsidSect="00232815">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B1" w:rsidRDefault="006F04B1" w:rsidP="00232815">
      <w:r>
        <w:separator/>
      </w:r>
    </w:p>
  </w:endnote>
  <w:endnote w:type="continuationSeparator" w:id="0">
    <w:p w:rsidR="006F04B1" w:rsidRDefault="006F04B1" w:rsidP="0023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2F4" w:rsidRDefault="000552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15" w:rsidRDefault="000552F4">
    <w:pPr>
      <w:pStyle w:val="a5"/>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filled="f" stroked="f">
          <v:textbox style="mso-fit-shape-to-text:t" inset="0,0,0,0">
            <w:txbxContent>
              <w:p w:rsidR="00232815" w:rsidRDefault="006F04B1">
                <w:pPr>
                  <w:pStyle w:val="a5"/>
                </w:pPr>
                <w:r>
                  <w:rPr>
                    <w:rFonts w:hint="eastAsia"/>
                  </w:rPr>
                  <w:t>第</w:t>
                </w:r>
                <w:r>
                  <w:rPr>
                    <w:rFonts w:hint="eastAsia"/>
                  </w:rPr>
                  <w:t xml:space="preserve"> </w:t>
                </w:r>
                <w:r w:rsidR="00232815">
                  <w:rPr>
                    <w:rFonts w:hint="eastAsia"/>
                  </w:rPr>
                  <w:fldChar w:fldCharType="begin"/>
                </w:r>
                <w:r>
                  <w:rPr>
                    <w:rFonts w:hint="eastAsia"/>
                  </w:rPr>
                  <w:instrText xml:space="preserve"> PAGE  \* MERGEFORMAT </w:instrText>
                </w:r>
                <w:r w:rsidR="00232815">
                  <w:rPr>
                    <w:rFonts w:hint="eastAsia"/>
                  </w:rPr>
                  <w:fldChar w:fldCharType="separate"/>
                </w:r>
                <w:r w:rsidR="000552F4">
                  <w:rPr>
                    <w:noProof/>
                  </w:rPr>
                  <w:t>4</w:t>
                </w:r>
                <w:r w:rsidR="00232815">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552F4">
                    <w:rPr>
                      <w:noProof/>
                    </w:rPr>
                    <w:t>4</w:t>
                  </w:r>
                </w:fldSimple>
                <w:r>
                  <w:rPr>
                    <w:rFonts w:hint="eastAsia"/>
                  </w:rPr>
                  <w:t xml:space="preserve"> </w:t>
                </w:r>
                <w:r>
                  <w:rPr>
                    <w:rFonts w:hint="eastAsia"/>
                  </w:rPr>
                  <w:t>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2F4" w:rsidRDefault="000552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B1" w:rsidRDefault="006F04B1" w:rsidP="00232815">
      <w:r>
        <w:separator/>
      </w:r>
    </w:p>
  </w:footnote>
  <w:footnote w:type="continuationSeparator" w:id="0">
    <w:p w:rsidR="006F04B1" w:rsidRDefault="006F04B1" w:rsidP="00232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2F4" w:rsidRDefault="000552F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15" w:rsidRDefault="00232815" w:rsidP="000552F4">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2F4" w:rsidRDefault="000552F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25D5"/>
    <w:rsid w:val="00007D85"/>
    <w:rsid w:val="00013827"/>
    <w:rsid w:val="000408EC"/>
    <w:rsid w:val="00047F98"/>
    <w:rsid w:val="00053886"/>
    <w:rsid w:val="000545B3"/>
    <w:rsid w:val="000552F4"/>
    <w:rsid w:val="00080359"/>
    <w:rsid w:val="000849AF"/>
    <w:rsid w:val="00091537"/>
    <w:rsid w:val="00092800"/>
    <w:rsid w:val="000973B8"/>
    <w:rsid w:val="000B36D4"/>
    <w:rsid w:val="000B5895"/>
    <w:rsid w:val="000F20BF"/>
    <w:rsid w:val="00102660"/>
    <w:rsid w:val="00132943"/>
    <w:rsid w:val="00161B2A"/>
    <w:rsid w:val="00163FEA"/>
    <w:rsid w:val="00191CEC"/>
    <w:rsid w:val="001A3CD5"/>
    <w:rsid w:val="001A74CE"/>
    <w:rsid w:val="001C0875"/>
    <w:rsid w:val="001C1497"/>
    <w:rsid w:val="001C4276"/>
    <w:rsid w:val="001D47FB"/>
    <w:rsid w:val="001E045F"/>
    <w:rsid w:val="00232457"/>
    <w:rsid w:val="00232815"/>
    <w:rsid w:val="002372C9"/>
    <w:rsid w:val="0023790B"/>
    <w:rsid w:val="0024023A"/>
    <w:rsid w:val="002439D3"/>
    <w:rsid w:val="002728D0"/>
    <w:rsid w:val="00276522"/>
    <w:rsid w:val="00292DD6"/>
    <w:rsid w:val="00293FAD"/>
    <w:rsid w:val="00296385"/>
    <w:rsid w:val="0029646B"/>
    <w:rsid w:val="002A0DDA"/>
    <w:rsid w:val="002B282A"/>
    <w:rsid w:val="002B69AD"/>
    <w:rsid w:val="002B75F9"/>
    <w:rsid w:val="002E1FF8"/>
    <w:rsid w:val="002E2C4B"/>
    <w:rsid w:val="002F7F2B"/>
    <w:rsid w:val="00325697"/>
    <w:rsid w:val="00340BE3"/>
    <w:rsid w:val="00345845"/>
    <w:rsid w:val="003550B7"/>
    <w:rsid w:val="0035679F"/>
    <w:rsid w:val="00357651"/>
    <w:rsid w:val="00374746"/>
    <w:rsid w:val="00377BE7"/>
    <w:rsid w:val="0038465C"/>
    <w:rsid w:val="00397257"/>
    <w:rsid w:val="003A43AC"/>
    <w:rsid w:val="003B5E3D"/>
    <w:rsid w:val="003C0FBE"/>
    <w:rsid w:val="003C7342"/>
    <w:rsid w:val="003E4895"/>
    <w:rsid w:val="00402893"/>
    <w:rsid w:val="00426DF2"/>
    <w:rsid w:val="004361A3"/>
    <w:rsid w:val="004A22C0"/>
    <w:rsid w:val="004A354D"/>
    <w:rsid w:val="004C311D"/>
    <w:rsid w:val="004C5BC1"/>
    <w:rsid w:val="004D56F9"/>
    <w:rsid w:val="004E3F63"/>
    <w:rsid w:val="00523856"/>
    <w:rsid w:val="00524CF3"/>
    <w:rsid w:val="00530454"/>
    <w:rsid w:val="005356F3"/>
    <w:rsid w:val="00544B05"/>
    <w:rsid w:val="0055621F"/>
    <w:rsid w:val="00566874"/>
    <w:rsid w:val="00574171"/>
    <w:rsid w:val="00575A94"/>
    <w:rsid w:val="00584A9F"/>
    <w:rsid w:val="00585246"/>
    <w:rsid w:val="0059709A"/>
    <w:rsid w:val="005A3252"/>
    <w:rsid w:val="005D7B2C"/>
    <w:rsid w:val="005E67F4"/>
    <w:rsid w:val="00603206"/>
    <w:rsid w:val="006230C0"/>
    <w:rsid w:val="00650AAD"/>
    <w:rsid w:val="00663AA1"/>
    <w:rsid w:val="006743A3"/>
    <w:rsid w:val="00685D0C"/>
    <w:rsid w:val="00686EF8"/>
    <w:rsid w:val="006942D1"/>
    <w:rsid w:val="006A5B5D"/>
    <w:rsid w:val="006A5D92"/>
    <w:rsid w:val="006B60AF"/>
    <w:rsid w:val="006C58AD"/>
    <w:rsid w:val="006E1C2D"/>
    <w:rsid w:val="006F04B1"/>
    <w:rsid w:val="00705D70"/>
    <w:rsid w:val="007104F9"/>
    <w:rsid w:val="00716D2E"/>
    <w:rsid w:val="007203BB"/>
    <w:rsid w:val="00747D72"/>
    <w:rsid w:val="00752C24"/>
    <w:rsid w:val="00757B21"/>
    <w:rsid w:val="00770A50"/>
    <w:rsid w:val="00772BE3"/>
    <w:rsid w:val="00785054"/>
    <w:rsid w:val="00793722"/>
    <w:rsid w:val="007939AD"/>
    <w:rsid w:val="007A7DFB"/>
    <w:rsid w:val="007D418E"/>
    <w:rsid w:val="007E239A"/>
    <w:rsid w:val="007E7D8D"/>
    <w:rsid w:val="0080116B"/>
    <w:rsid w:val="008029BD"/>
    <w:rsid w:val="00821605"/>
    <w:rsid w:val="00823DFE"/>
    <w:rsid w:val="00835971"/>
    <w:rsid w:val="00852F81"/>
    <w:rsid w:val="0085764E"/>
    <w:rsid w:val="0087046A"/>
    <w:rsid w:val="008A61D3"/>
    <w:rsid w:val="008B3354"/>
    <w:rsid w:val="008B40AB"/>
    <w:rsid w:val="008F0843"/>
    <w:rsid w:val="009105A8"/>
    <w:rsid w:val="0091724D"/>
    <w:rsid w:val="00954308"/>
    <w:rsid w:val="00983E82"/>
    <w:rsid w:val="00993C77"/>
    <w:rsid w:val="009A6A83"/>
    <w:rsid w:val="009D2385"/>
    <w:rsid w:val="009D4237"/>
    <w:rsid w:val="009D7A45"/>
    <w:rsid w:val="00A20BB4"/>
    <w:rsid w:val="00A3102B"/>
    <w:rsid w:val="00A525D5"/>
    <w:rsid w:val="00A63A29"/>
    <w:rsid w:val="00A64639"/>
    <w:rsid w:val="00A91323"/>
    <w:rsid w:val="00A92EB3"/>
    <w:rsid w:val="00AB2121"/>
    <w:rsid w:val="00AE2995"/>
    <w:rsid w:val="00AE6054"/>
    <w:rsid w:val="00AF1BE3"/>
    <w:rsid w:val="00AF362E"/>
    <w:rsid w:val="00B06061"/>
    <w:rsid w:val="00B51B04"/>
    <w:rsid w:val="00B545D7"/>
    <w:rsid w:val="00B61AAC"/>
    <w:rsid w:val="00B83D44"/>
    <w:rsid w:val="00BC1A25"/>
    <w:rsid w:val="00BF007E"/>
    <w:rsid w:val="00C0009F"/>
    <w:rsid w:val="00C11427"/>
    <w:rsid w:val="00C24BBF"/>
    <w:rsid w:val="00C82EEA"/>
    <w:rsid w:val="00CB1794"/>
    <w:rsid w:val="00CB1FDE"/>
    <w:rsid w:val="00CB42B9"/>
    <w:rsid w:val="00CC49D3"/>
    <w:rsid w:val="00CD2CE2"/>
    <w:rsid w:val="00CD5486"/>
    <w:rsid w:val="00CE756E"/>
    <w:rsid w:val="00CF706F"/>
    <w:rsid w:val="00D222F4"/>
    <w:rsid w:val="00D445C8"/>
    <w:rsid w:val="00D574C7"/>
    <w:rsid w:val="00D80D0F"/>
    <w:rsid w:val="00D86C64"/>
    <w:rsid w:val="00DA565C"/>
    <w:rsid w:val="00DE0B75"/>
    <w:rsid w:val="00DE4A42"/>
    <w:rsid w:val="00DF4096"/>
    <w:rsid w:val="00DF62D2"/>
    <w:rsid w:val="00E1630A"/>
    <w:rsid w:val="00E17F1A"/>
    <w:rsid w:val="00E34F18"/>
    <w:rsid w:val="00E35FC6"/>
    <w:rsid w:val="00E77E49"/>
    <w:rsid w:val="00E84C3C"/>
    <w:rsid w:val="00E9140E"/>
    <w:rsid w:val="00E96324"/>
    <w:rsid w:val="00ED2E55"/>
    <w:rsid w:val="00EE258D"/>
    <w:rsid w:val="00F00FB7"/>
    <w:rsid w:val="00F06261"/>
    <w:rsid w:val="00F06E69"/>
    <w:rsid w:val="00F51DD1"/>
    <w:rsid w:val="00F63CBE"/>
    <w:rsid w:val="00F72E81"/>
    <w:rsid w:val="00FA1F4E"/>
    <w:rsid w:val="00FB59A4"/>
    <w:rsid w:val="00FC5F10"/>
    <w:rsid w:val="00FE6F4B"/>
    <w:rsid w:val="2A3F299B"/>
    <w:rsid w:val="318B4CB9"/>
    <w:rsid w:val="3292781B"/>
    <w:rsid w:val="3FB865A9"/>
    <w:rsid w:val="45374E2C"/>
    <w:rsid w:val="68170DF4"/>
    <w:rsid w:val="6DC84A7A"/>
    <w:rsid w:val="70D93B4D"/>
    <w:rsid w:val="746D5B8B"/>
    <w:rsid w:val="775E17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qFormat="1"/>
    <w:lsdException w:name="footer"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8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rsid w:val="00232815"/>
    <w:pPr>
      <w:jc w:val="left"/>
    </w:pPr>
  </w:style>
  <w:style w:type="paragraph" w:styleId="a4">
    <w:name w:val="Balloon Text"/>
    <w:basedOn w:val="a"/>
    <w:link w:val="Char0"/>
    <w:uiPriority w:val="99"/>
    <w:semiHidden/>
    <w:qFormat/>
    <w:rsid w:val="00232815"/>
    <w:rPr>
      <w:sz w:val="18"/>
      <w:szCs w:val="18"/>
    </w:rPr>
  </w:style>
  <w:style w:type="paragraph" w:styleId="a5">
    <w:name w:val="footer"/>
    <w:basedOn w:val="a"/>
    <w:link w:val="Char1"/>
    <w:uiPriority w:val="99"/>
    <w:semiHidden/>
    <w:qFormat/>
    <w:rsid w:val="00232815"/>
    <w:pPr>
      <w:tabs>
        <w:tab w:val="center" w:pos="4153"/>
        <w:tab w:val="right" w:pos="8306"/>
      </w:tabs>
      <w:snapToGrid w:val="0"/>
      <w:jc w:val="left"/>
    </w:pPr>
    <w:rPr>
      <w:sz w:val="18"/>
      <w:szCs w:val="18"/>
    </w:rPr>
  </w:style>
  <w:style w:type="paragraph" w:styleId="a6">
    <w:name w:val="header"/>
    <w:basedOn w:val="a"/>
    <w:link w:val="Char2"/>
    <w:uiPriority w:val="99"/>
    <w:semiHidden/>
    <w:qFormat/>
    <w:rsid w:val="0023281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232815"/>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qFormat/>
    <w:rsid w:val="00232815"/>
    <w:rPr>
      <w:b/>
      <w:bCs/>
    </w:rPr>
  </w:style>
  <w:style w:type="table" w:styleId="a9">
    <w:name w:val="Table Grid"/>
    <w:basedOn w:val="a1"/>
    <w:qFormat/>
    <w:locked/>
    <w:rsid w:val="00232815"/>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qFormat/>
    <w:rsid w:val="00232815"/>
    <w:rPr>
      <w:rFonts w:cs="Times New Roman"/>
      <w:sz w:val="21"/>
      <w:szCs w:val="21"/>
    </w:rPr>
  </w:style>
  <w:style w:type="character" w:customStyle="1" w:styleId="Char2">
    <w:name w:val="页眉 Char"/>
    <w:basedOn w:val="a0"/>
    <w:link w:val="a6"/>
    <w:uiPriority w:val="99"/>
    <w:semiHidden/>
    <w:qFormat/>
    <w:locked/>
    <w:rsid w:val="00232815"/>
    <w:rPr>
      <w:rFonts w:cs="Times New Roman"/>
      <w:sz w:val="18"/>
      <w:szCs w:val="18"/>
    </w:rPr>
  </w:style>
  <w:style w:type="character" w:customStyle="1" w:styleId="Char1">
    <w:name w:val="页脚 Char"/>
    <w:basedOn w:val="a0"/>
    <w:link w:val="a5"/>
    <w:uiPriority w:val="99"/>
    <w:semiHidden/>
    <w:qFormat/>
    <w:locked/>
    <w:rsid w:val="00232815"/>
    <w:rPr>
      <w:rFonts w:cs="Times New Roman"/>
      <w:sz w:val="18"/>
      <w:szCs w:val="18"/>
    </w:rPr>
  </w:style>
  <w:style w:type="character" w:customStyle="1" w:styleId="articletitle">
    <w:name w:val="article_title"/>
    <w:basedOn w:val="a0"/>
    <w:uiPriority w:val="99"/>
    <w:qFormat/>
    <w:rsid w:val="00232815"/>
    <w:rPr>
      <w:rFonts w:cs="Times New Roman"/>
    </w:rPr>
  </w:style>
  <w:style w:type="character" w:customStyle="1" w:styleId="Char0">
    <w:name w:val="批注框文本 Char"/>
    <w:basedOn w:val="a0"/>
    <w:link w:val="a4"/>
    <w:uiPriority w:val="99"/>
    <w:semiHidden/>
    <w:qFormat/>
    <w:locked/>
    <w:rsid w:val="00232815"/>
    <w:rPr>
      <w:rFonts w:cs="Times New Roman"/>
      <w:sz w:val="18"/>
      <w:szCs w:val="18"/>
    </w:rPr>
  </w:style>
  <w:style w:type="character" w:customStyle="1" w:styleId="Char">
    <w:name w:val="批注文字 Char"/>
    <w:basedOn w:val="a0"/>
    <w:link w:val="a3"/>
    <w:uiPriority w:val="99"/>
    <w:semiHidden/>
    <w:qFormat/>
    <w:locked/>
    <w:rsid w:val="00232815"/>
    <w:rPr>
      <w:rFonts w:cs="Times New Roman"/>
    </w:rPr>
  </w:style>
  <w:style w:type="character" w:customStyle="1" w:styleId="Char3">
    <w:name w:val="批注主题 Char"/>
    <w:basedOn w:val="Char"/>
    <w:link w:val="a8"/>
    <w:uiPriority w:val="99"/>
    <w:semiHidden/>
    <w:qFormat/>
    <w:locked/>
    <w:rsid w:val="00232815"/>
    <w:rPr>
      <w:rFonts w:cs="Times New Roman"/>
      <w:b/>
      <w:bCs/>
    </w:rPr>
  </w:style>
  <w:style w:type="paragraph" w:styleId="ab">
    <w:name w:val="List Paragraph"/>
    <w:basedOn w:val="a"/>
    <w:uiPriority w:val="34"/>
    <w:qFormat/>
    <w:rsid w:val="0023281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2997F0-CC21-45EB-9A16-EC9F575D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2147</Words>
  <Characters>309</Characters>
  <Application>Microsoft Office Word</Application>
  <DocSecurity>0</DocSecurity>
  <Lines>2</Lines>
  <Paragraphs>4</Paragraphs>
  <ScaleCrop>false</ScaleCrop>
  <Company>Microsoft</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学院2020年博士研究生招生工作细则</dc:title>
  <dc:creator>User</dc:creator>
  <cp:lastModifiedBy>桑三博客</cp:lastModifiedBy>
  <cp:revision>15</cp:revision>
  <cp:lastPrinted>2020-11-10T09:52:00Z</cp:lastPrinted>
  <dcterms:created xsi:type="dcterms:W3CDTF">2020-11-12T07:58:00Z</dcterms:created>
  <dcterms:modified xsi:type="dcterms:W3CDTF">2020-11-26T01:28:00Z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